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嘉兴市水利局2019年度政府信息公开工作年度报告</w:t>
      </w:r>
    </w:p>
    <w:p>
      <w:pPr>
        <w:rPr>
          <w:rFonts w:hint="eastAsia" w:ascii="仿宋_GB2312" w:hAnsi="仿宋_GB2312" w:eastAsia="仿宋_GB2312" w:cs="仿宋_GB2312"/>
          <w:sz w:val="32"/>
          <w:szCs w:val="32"/>
        </w:rPr>
      </w:pPr>
    </w:p>
    <w:p>
      <w:pPr>
        <w:widowControl/>
        <w:spacing w:line="432" w:lineRule="atLeast"/>
        <w:ind w:firstLine="620" w:firstLineChars="200"/>
        <w:rPr>
          <w:rFonts w:hint="eastAsia" w:ascii="黑体" w:hAnsi="宋体" w:eastAsia="黑体" w:cs="黑体"/>
          <w:b w:val="0"/>
          <w:color w:val="auto"/>
          <w:spacing w:val="0"/>
          <w:kern w:val="0"/>
          <w:sz w:val="31"/>
          <w:szCs w:val="31"/>
          <w:lang w:val="en-US" w:eastAsia="zh-CN" w:bidi="ar"/>
        </w:rPr>
      </w:pPr>
      <w:r>
        <w:rPr>
          <w:rFonts w:hint="eastAsia" w:ascii="黑体" w:hAnsi="宋体" w:eastAsia="黑体" w:cs="黑体"/>
          <w:b w:val="0"/>
          <w:color w:val="auto"/>
          <w:spacing w:val="0"/>
          <w:kern w:val="0"/>
          <w:sz w:val="31"/>
          <w:szCs w:val="31"/>
          <w:lang w:val="en-US" w:eastAsia="zh-CN" w:bidi="ar"/>
        </w:rPr>
        <w:t>一、总体情况</w:t>
      </w:r>
    </w:p>
    <w:p>
      <w:pPr>
        <w:pStyle w:val="3"/>
        <w:keepNext w:val="0"/>
        <w:keepLines w:val="0"/>
        <w:widowControl/>
        <w:suppressLineNumbers w:val="0"/>
        <w:spacing w:before="0" w:beforeAutospacing="0" w:after="0" w:afterAutospacing="0" w:line="555" w:lineRule="atLeast"/>
        <w:ind w:left="0" w:right="0" w:firstLine="645"/>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根据《中华人民共和国政府信息公开条例》规定和《浙江省人民政府办公厅关于印发浙江省全面推进政务公开工作实施细则的通知》《嘉兴市人民政府办公室关于印发201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年嘉兴市政务公开工作要点的通知》要求，现将</w:t>
      </w:r>
      <w:r>
        <w:rPr>
          <w:rFonts w:hint="eastAsia" w:ascii="仿宋_GB2312" w:hAnsi="仿宋_GB2312" w:eastAsia="仿宋_GB2312" w:cs="仿宋_GB2312"/>
          <w:sz w:val="32"/>
          <w:szCs w:val="32"/>
          <w:lang w:val="en-US" w:eastAsia="zh-CN"/>
        </w:rPr>
        <w:t>嘉兴市水利局</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年政府信息公开工作年度报告如下：</w:t>
      </w:r>
    </w:p>
    <w:p>
      <w:pPr>
        <w:pStyle w:val="3"/>
        <w:keepNext w:val="0"/>
        <w:keepLines w:val="0"/>
        <w:widowControl/>
        <w:suppressLineNumbers w:val="0"/>
        <w:spacing w:before="0" w:beforeAutospacing="0" w:after="0" w:afterAutospacing="0" w:line="555" w:lineRule="atLeast"/>
        <w:ind w:left="0" w:right="0" w:firstLine="645"/>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嘉兴市水利局</w:t>
      </w:r>
      <w:r>
        <w:rPr>
          <w:rFonts w:hint="eastAsia" w:ascii="仿宋_GB2312" w:hAnsi="仿宋_GB2312" w:eastAsia="仿宋_GB2312" w:cs="仿宋_GB2312"/>
          <w:sz w:val="32"/>
          <w:szCs w:val="32"/>
        </w:rPr>
        <w:t>根据政府信息公开工作要点，明确工作任务，落实工作职责，提升政府公信力，保障人民群众的知情权、参与权、监督权。</w:t>
      </w:r>
    </w:p>
    <w:p>
      <w:pPr>
        <w:pStyle w:val="3"/>
        <w:keepNext w:val="0"/>
        <w:keepLines w:val="0"/>
        <w:widowControl/>
        <w:suppressLineNumbers w:val="0"/>
        <w:spacing w:before="0" w:beforeAutospacing="0" w:after="0" w:afterAutospacing="0" w:line="555" w:lineRule="atLeast"/>
        <w:ind w:left="0" w:right="0" w:firstLine="645"/>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一是进一步</w:t>
      </w:r>
      <w:r>
        <w:rPr>
          <w:rFonts w:hint="eastAsia" w:ascii="仿宋_GB2312" w:hAnsi="仿宋_GB2312" w:eastAsia="仿宋_GB2312" w:cs="仿宋_GB2312"/>
          <w:sz w:val="32"/>
          <w:szCs w:val="32"/>
        </w:rPr>
        <w:t>完善工作制度。市</w:t>
      </w:r>
      <w:r>
        <w:rPr>
          <w:rFonts w:hint="eastAsia" w:ascii="仿宋_GB2312" w:hAnsi="仿宋_GB2312" w:eastAsia="仿宋_GB2312" w:cs="仿宋_GB2312"/>
          <w:sz w:val="32"/>
          <w:szCs w:val="32"/>
          <w:lang w:val="en-US" w:eastAsia="zh-CN"/>
        </w:rPr>
        <w:t>水利局</w:t>
      </w:r>
      <w:r>
        <w:rPr>
          <w:rFonts w:hint="eastAsia" w:ascii="仿宋_GB2312" w:hAnsi="仿宋_GB2312" w:eastAsia="仿宋_GB2312" w:cs="仿宋_GB2312"/>
          <w:sz w:val="32"/>
          <w:szCs w:val="32"/>
        </w:rPr>
        <w:t>定期对信息公开专栏内发布的政府信息进行自查，积极配合上级主管部门做好依申请公开、行政复议、行政诉讼工作，及时完成交办的工作任务，并与单位内部考核工作相挂钩，保证信息按规定时限、规定栏目公布。</w:t>
      </w:r>
    </w:p>
    <w:p>
      <w:pPr>
        <w:pStyle w:val="3"/>
        <w:keepNext w:val="0"/>
        <w:keepLines w:val="0"/>
        <w:widowControl/>
        <w:suppressLineNumbers w:val="0"/>
        <w:spacing w:before="0" w:beforeAutospacing="0" w:after="0" w:afterAutospacing="0" w:line="555" w:lineRule="atLeast"/>
        <w:ind w:left="0" w:right="0" w:firstLine="645"/>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二是进一步</w:t>
      </w:r>
      <w:r>
        <w:rPr>
          <w:rFonts w:hint="eastAsia" w:ascii="仿宋_GB2312" w:hAnsi="仿宋_GB2312" w:eastAsia="仿宋_GB2312" w:cs="仿宋_GB2312"/>
          <w:sz w:val="32"/>
          <w:szCs w:val="32"/>
        </w:rPr>
        <w:t>做好权力清单公开。根据《关于全面推进“最多跑一次”改革实施方案（嘉政发〔2017〕8号）》精神，充分运用“互联网+政务服务”，全面推进“最多跑一次”改革，进一步转变政府职能，加快建设服务型政府，全面实现群众和企业到政府办事“最多跑一次”。</w:t>
      </w:r>
      <w:r>
        <w:rPr>
          <w:rFonts w:hint="eastAsia" w:ascii="仿宋_GB2312" w:hAnsi="仿宋_GB2312" w:eastAsia="仿宋_GB2312" w:cs="仿宋_GB2312"/>
          <w:sz w:val="32"/>
          <w:szCs w:val="32"/>
          <w:lang w:val="en-US" w:eastAsia="zh-CN"/>
        </w:rPr>
        <w:t>全局</w:t>
      </w:r>
      <w:r>
        <w:rPr>
          <w:rFonts w:hint="eastAsia" w:ascii="仿宋_GB2312" w:hAnsi="仿宋_GB2312" w:eastAsia="仿宋_GB2312" w:cs="仿宋_GB2312"/>
          <w:sz w:val="32"/>
          <w:szCs w:val="32"/>
        </w:rPr>
        <w:t>53项政务服务事项全部实现“一窗”受理，政务服务事项全部实现“跑零次”，对12项许可事项逐项简化并明确许可范围、许可条件、许可有效期限等，细化审批标准、办理程序和时限等要求。</w:t>
      </w:r>
    </w:p>
    <w:p>
      <w:pPr>
        <w:pStyle w:val="3"/>
        <w:keepNext w:val="0"/>
        <w:keepLines w:val="0"/>
        <w:widowControl/>
        <w:suppressLineNumbers w:val="0"/>
        <w:spacing w:before="0" w:beforeAutospacing="0" w:after="0" w:afterAutospacing="0" w:line="555" w:lineRule="atLeast"/>
        <w:ind w:left="0" w:right="0" w:firstLine="645"/>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三是进一步</w:t>
      </w:r>
      <w:r>
        <w:rPr>
          <w:rFonts w:hint="eastAsia" w:ascii="仿宋_GB2312" w:hAnsi="仿宋_GB2312" w:eastAsia="仿宋_GB2312" w:cs="仿宋_GB2312"/>
          <w:sz w:val="32"/>
          <w:szCs w:val="32"/>
        </w:rPr>
        <w:t>拓宽信息公开渠道。在扎实推进</w:t>
      </w:r>
      <w:r>
        <w:rPr>
          <w:rFonts w:hint="eastAsia" w:ascii="仿宋_GB2312" w:hAnsi="仿宋_GB2312" w:eastAsia="仿宋_GB2312" w:cs="仿宋_GB2312"/>
          <w:sz w:val="32"/>
          <w:szCs w:val="32"/>
          <w:lang w:val="en-US" w:eastAsia="zh-CN"/>
        </w:rPr>
        <w:t>嘉兴市水利局</w:t>
      </w:r>
      <w:r>
        <w:rPr>
          <w:rFonts w:hint="eastAsia" w:ascii="仿宋_GB2312" w:hAnsi="仿宋_GB2312" w:eastAsia="仿宋_GB2312" w:cs="仿宋_GB2312"/>
          <w:sz w:val="32"/>
          <w:szCs w:val="32"/>
        </w:rPr>
        <w:t>网站建设的基础上，完善基于新媒体的政务信息发布途径以及与公众互动交流新渠道。不断丰富“嘉兴</w:t>
      </w:r>
      <w:r>
        <w:rPr>
          <w:rFonts w:hint="eastAsia" w:ascii="仿宋_GB2312" w:hAnsi="仿宋_GB2312" w:eastAsia="仿宋_GB2312" w:cs="仿宋_GB2312"/>
          <w:sz w:val="32"/>
          <w:szCs w:val="32"/>
          <w:lang w:val="en-US" w:eastAsia="zh-CN"/>
        </w:rPr>
        <w:t>水利</w:t>
      </w:r>
      <w:r>
        <w:rPr>
          <w:rFonts w:hint="eastAsia" w:ascii="仿宋_GB2312" w:hAnsi="仿宋_GB2312" w:eastAsia="仿宋_GB2312" w:cs="仿宋_GB2312"/>
          <w:sz w:val="32"/>
          <w:szCs w:val="32"/>
        </w:rPr>
        <w:t>”微信公众号的功能和内容，为企业提供办事咨询、问题投诉、建言献策、信息咨询等服务。同时</w:t>
      </w:r>
      <w:r>
        <w:rPr>
          <w:rFonts w:hint="eastAsia" w:ascii="仿宋_GB2312" w:hAnsi="仿宋_GB2312" w:eastAsia="仿宋_GB2312" w:cs="仿宋_GB2312"/>
          <w:sz w:val="32"/>
          <w:szCs w:val="32"/>
          <w:lang w:val="en-US" w:eastAsia="zh-CN"/>
        </w:rPr>
        <w:t>进一步完善了</w:t>
      </w:r>
      <w:r>
        <w:rPr>
          <w:rFonts w:hint="eastAsia" w:ascii="仿宋_GB2312" w:hAnsi="仿宋_GB2312" w:eastAsia="仿宋_GB2312" w:cs="仿宋_GB2312"/>
          <w:sz w:val="32"/>
          <w:szCs w:val="32"/>
        </w:rPr>
        <w:t>信息编审、运行管理、督查督办等制度。201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年，通过微信公众号发布各类资讯信息</w:t>
      </w:r>
      <w:r>
        <w:rPr>
          <w:rFonts w:hint="eastAsia" w:ascii="仿宋_GB2312" w:hAnsi="仿宋_GB2312" w:eastAsia="仿宋_GB2312" w:cs="仿宋_GB2312"/>
          <w:sz w:val="32"/>
          <w:szCs w:val="32"/>
          <w:lang w:val="en-US" w:eastAsia="zh-CN"/>
        </w:rPr>
        <w:t>89</w:t>
      </w:r>
      <w:r>
        <w:rPr>
          <w:rFonts w:hint="eastAsia" w:ascii="仿宋_GB2312" w:hAnsi="仿宋_GB2312" w:eastAsia="仿宋_GB2312" w:cs="仿宋_GB2312"/>
          <w:sz w:val="32"/>
          <w:szCs w:val="32"/>
        </w:rPr>
        <w:t>条。</w:t>
      </w:r>
    </w:p>
    <w:p>
      <w:pPr>
        <w:widowControl/>
        <w:spacing w:line="432" w:lineRule="atLeast"/>
        <w:ind w:firstLine="620" w:firstLineChars="200"/>
        <w:rPr>
          <w:rFonts w:hint="eastAsia" w:ascii="黑体" w:hAnsi="宋体" w:eastAsia="黑体" w:cs="黑体"/>
          <w:b w:val="0"/>
          <w:color w:val="333333"/>
          <w:spacing w:val="0"/>
          <w:kern w:val="0"/>
          <w:sz w:val="31"/>
          <w:szCs w:val="31"/>
          <w:lang w:val="en-US" w:eastAsia="zh-CN" w:bidi="ar"/>
        </w:rPr>
      </w:pPr>
      <w:r>
        <w:rPr>
          <w:rFonts w:hint="eastAsia" w:ascii="黑体" w:hAnsi="宋体" w:eastAsia="黑体" w:cs="黑体"/>
          <w:b w:val="0"/>
          <w:color w:val="auto"/>
          <w:spacing w:val="0"/>
          <w:kern w:val="0"/>
          <w:sz w:val="31"/>
          <w:szCs w:val="31"/>
          <w:lang w:val="en-US" w:eastAsia="zh-CN" w:bidi="ar"/>
        </w:rPr>
        <w:t>二、主动公开政府信息情况</w:t>
      </w:r>
    </w:p>
    <w:tbl>
      <w:tblPr>
        <w:tblStyle w:val="4"/>
        <w:tblW w:w="8140" w:type="dxa"/>
        <w:jc w:val="center"/>
        <w:tblLayout w:type="autofit"/>
        <w:tblCellMar>
          <w:top w:w="0" w:type="dxa"/>
          <w:left w:w="0" w:type="dxa"/>
          <w:bottom w:w="0" w:type="dxa"/>
          <w:right w:w="0" w:type="dxa"/>
        </w:tblCellMar>
      </w:tblPr>
      <w:tblGrid>
        <w:gridCol w:w="3113"/>
        <w:gridCol w:w="1881"/>
        <w:gridCol w:w="1265"/>
        <w:gridCol w:w="1881"/>
      </w:tblGrid>
      <w:tr>
        <w:tblPrEx>
          <w:tblCellMar>
            <w:top w:w="0" w:type="dxa"/>
            <w:left w:w="0" w:type="dxa"/>
            <w:bottom w:w="0" w:type="dxa"/>
            <w:right w:w="0" w:type="dxa"/>
          </w:tblCellMar>
        </w:tblPrEx>
        <w:trPr>
          <w:trHeight w:val="495"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81"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本年新</w:t>
            </w:r>
            <w:r>
              <w:rPr>
                <w:rFonts w:hint="eastAsia" w:ascii="宋体" w:hAnsi="宋体" w:cs="宋体"/>
                <w:color w:val="000000"/>
                <w:kern w:val="0"/>
                <w:sz w:val="20"/>
                <w:szCs w:val="20"/>
              </w:rPr>
              <w:br w:type="textWrapping"/>
            </w:r>
            <w:r>
              <w:rPr>
                <w:rFonts w:ascii="宋体" w:hAnsi="宋体" w:cs="宋体"/>
                <w:color w:val="000000"/>
                <w:kern w:val="0"/>
                <w:sz w:val="20"/>
                <w:szCs w:val="20"/>
              </w:rPr>
              <w:t>制作数量</w:t>
            </w:r>
          </w:p>
        </w:tc>
        <w:tc>
          <w:tcPr>
            <w:tcW w:w="126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本年新</w:t>
            </w:r>
            <w:r>
              <w:rPr>
                <w:rFonts w:hint="eastAsia" w:ascii="宋体" w:hAnsi="宋体" w:cs="宋体"/>
                <w:color w:val="000000"/>
                <w:kern w:val="0"/>
                <w:sz w:val="20"/>
                <w:szCs w:val="20"/>
              </w:rPr>
              <w:br w:type="textWrapping"/>
            </w:r>
            <w:r>
              <w:rPr>
                <w:rFonts w:ascii="宋体" w:hAnsi="宋体" w:cs="宋体"/>
                <w:color w:val="000000"/>
                <w:kern w:val="0"/>
                <w:sz w:val="20"/>
                <w:szCs w:val="20"/>
              </w:rPr>
              <w:t>公开数量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规章</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规范性文件</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80"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81"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上一年项目数量</w:t>
            </w:r>
          </w:p>
        </w:tc>
        <w:tc>
          <w:tcPr>
            <w:tcW w:w="126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行政许可</w:t>
            </w:r>
          </w:p>
        </w:tc>
        <w:tc>
          <w:tcPr>
            <w:tcW w:w="1881" w:type="dxa"/>
            <w:tcBorders>
              <w:top w:val="nil"/>
              <w:left w:val="nil"/>
              <w:bottom w:val="single" w:color="auto" w:sz="8" w:space="0"/>
              <w:right w:val="single" w:color="auto" w:sz="8" w:space="0"/>
            </w:tcBorders>
            <w:noWrap/>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其他对外管理服务事项</w:t>
            </w:r>
          </w:p>
        </w:tc>
        <w:tc>
          <w:tcPr>
            <w:tcW w:w="1881" w:type="dxa"/>
            <w:tcBorders>
              <w:top w:val="nil"/>
              <w:left w:val="nil"/>
              <w:bottom w:val="single" w:color="auto" w:sz="8" w:space="0"/>
              <w:right w:val="single" w:color="auto" w:sz="8" w:space="0"/>
            </w:tcBorders>
            <w:noWrap/>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0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81"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上一年项目数量</w:t>
            </w:r>
          </w:p>
        </w:tc>
        <w:tc>
          <w:tcPr>
            <w:tcW w:w="126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行政处罚</w:t>
            </w:r>
          </w:p>
        </w:tc>
        <w:tc>
          <w:tcPr>
            <w:tcW w:w="1881" w:type="dxa"/>
            <w:tcBorders>
              <w:top w:val="nil"/>
              <w:left w:val="nil"/>
              <w:bottom w:val="single" w:color="auto" w:sz="8" w:space="0"/>
              <w:right w:val="single" w:color="auto" w:sz="8" w:space="0"/>
            </w:tcBorders>
            <w:noWrap/>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行政强制</w:t>
            </w:r>
          </w:p>
        </w:tc>
        <w:tc>
          <w:tcPr>
            <w:tcW w:w="1881" w:type="dxa"/>
            <w:tcBorders>
              <w:top w:val="nil"/>
              <w:left w:val="nil"/>
              <w:bottom w:val="single" w:color="auto" w:sz="8" w:space="0"/>
              <w:right w:val="single" w:color="auto" w:sz="8" w:space="0"/>
            </w:tcBorders>
            <w:noWrap/>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74"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行政事业性收费</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bookmarkStart w:id="0" w:name="_GoBack"/>
            <w:bookmarkEnd w:id="0"/>
            <w:r>
              <w:rPr>
                <w:rFonts w:hint="eastAsia" w:ascii="宋体" w:hAnsi="宋体" w:cs="宋体"/>
                <w:color w:val="000000"/>
                <w:kern w:val="0"/>
                <w:sz w:val="20"/>
                <w:szCs w:val="20"/>
              </w:rPr>
              <w:t> </w:t>
            </w:r>
          </w:p>
        </w:tc>
      </w:tr>
      <w:tr>
        <w:tblPrEx>
          <w:tblCellMar>
            <w:top w:w="0" w:type="dxa"/>
            <w:left w:w="0" w:type="dxa"/>
            <w:bottom w:w="0" w:type="dxa"/>
            <w:right w:w="0" w:type="dxa"/>
          </w:tblCellMar>
        </w:tblPrEx>
        <w:trPr>
          <w:trHeight w:val="47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政府集中采购</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p>
        </w:tc>
      </w:tr>
    </w:tbl>
    <w:p>
      <w:pPr>
        <w:widowControl/>
        <w:spacing w:line="432" w:lineRule="atLeast"/>
        <w:ind w:firstLine="480"/>
        <w:rPr>
          <w:rFonts w:hint="eastAsia" w:ascii="宋体" w:hAnsi="宋体" w:cs="宋体"/>
          <w:color w:val="000000"/>
          <w:kern w:val="0"/>
          <w:sz w:val="24"/>
        </w:rPr>
      </w:pPr>
    </w:p>
    <w:p>
      <w:pPr>
        <w:widowControl/>
        <w:spacing w:line="432" w:lineRule="atLeast"/>
        <w:ind w:firstLine="620" w:firstLineChars="200"/>
        <w:rPr>
          <w:rFonts w:hint="eastAsia" w:ascii="黑体" w:hAnsi="宋体" w:eastAsia="黑体" w:cs="黑体"/>
          <w:b w:val="0"/>
          <w:color w:val="auto"/>
          <w:spacing w:val="0"/>
          <w:kern w:val="0"/>
          <w:sz w:val="31"/>
          <w:szCs w:val="31"/>
          <w:lang w:val="en-US" w:eastAsia="zh-CN" w:bidi="ar"/>
        </w:rPr>
      </w:pPr>
      <w:r>
        <w:rPr>
          <w:rFonts w:hint="eastAsia" w:ascii="黑体" w:hAnsi="宋体" w:eastAsia="黑体" w:cs="黑体"/>
          <w:b w:val="0"/>
          <w:color w:val="auto"/>
          <w:spacing w:val="0"/>
          <w:kern w:val="0"/>
          <w:sz w:val="31"/>
          <w:szCs w:val="31"/>
          <w:lang w:val="en-US" w:eastAsia="zh-CN" w:bidi="ar"/>
        </w:rPr>
        <w:t>三、收到和处理政府信息公开申请情况</w:t>
      </w:r>
    </w:p>
    <w:tbl>
      <w:tblPr>
        <w:tblStyle w:val="4"/>
        <w:tblW w:w="9071" w:type="dxa"/>
        <w:jc w:val="center"/>
        <w:tblLayout w:type="autofit"/>
        <w:tblCellMar>
          <w:top w:w="0" w:type="dxa"/>
          <w:left w:w="0" w:type="dxa"/>
          <w:bottom w:w="0" w:type="dxa"/>
          <w:right w:w="0" w:type="dxa"/>
        </w:tblCellMar>
      </w:tblPr>
      <w:tblGrid>
        <w:gridCol w:w="494"/>
        <w:gridCol w:w="855"/>
        <w:gridCol w:w="2130"/>
        <w:gridCol w:w="825"/>
        <w:gridCol w:w="765"/>
        <w:gridCol w:w="765"/>
        <w:gridCol w:w="825"/>
        <w:gridCol w:w="990"/>
        <w:gridCol w:w="720"/>
        <w:gridCol w:w="702"/>
      </w:tblGrid>
      <w:tr>
        <w:tblPrEx>
          <w:tblCellMar>
            <w:top w:w="0" w:type="dxa"/>
            <w:left w:w="0" w:type="dxa"/>
            <w:bottom w:w="0" w:type="dxa"/>
            <w:right w:w="0" w:type="dxa"/>
          </w:tblCellMar>
        </w:tblPrEx>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825"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自然人</w:t>
            </w:r>
          </w:p>
        </w:tc>
        <w:tc>
          <w:tcPr>
            <w:tcW w:w="4065"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法人或其他组织</w:t>
            </w:r>
          </w:p>
        </w:tc>
        <w:tc>
          <w:tcPr>
            <w:tcW w:w="702"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商业企业</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科研机构</w:t>
            </w:r>
          </w:p>
        </w:tc>
        <w:tc>
          <w:tcPr>
            <w:tcW w:w="82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社会公益组织</w:t>
            </w:r>
          </w:p>
        </w:tc>
        <w:tc>
          <w:tcPr>
            <w:tcW w:w="99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法律服务机构</w:t>
            </w:r>
          </w:p>
        </w:tc>
        <w:tc>
          <w:tcPr>
            <w:tcW w:w="72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w:t>
            </w:r>
          </w:p>
        </w:tc>
        <w:tc>
          <w:tcPr>
            <w:tcW w:w="0" w:type="auto"/>
            <w:vMerge w:val="continue"/>
            <w:tcBorders>
              <w:top w:val="single" w:color="auto" w:sz="8" w:space="0"/>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一、本年新收政府信息公开申请数量</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3</w:t>
            </w: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3</w:t>
            </w:r>
          </w:p>
        </w:tc>
      </w:tr>
      <w:tr>
        <w:tblPrEx>
          <w:tblCellMar>
            <w:top w:w="0" w:type="dxa"/>
            <w:left w:w="0" w:type="dxa"/>
            <w:bottom w:w="0" w:type="dxa"/>
            <w:right w:w="0" w:type="dxa"/>
          </w:tblCellMar>
        </w:tblPrEx>
        <w:trPr>
          <w:trHeight w:val="90" w:hRule="atLeast"/>
          <w:jc w:val="center"/>
        </w:trPr>
        <w:tc>
          <w:tcPr>
            <w:tcW w:w="3479" w:type="dxa"/>
            <w:gridSpan w:val="3"/>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二、上年结转政府信息公开申请数量</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restart"/>
            <w:tcBorders>
              <w:top w:val="nil"/>
              <w:left w:val="single" w:color="auto" w:sz="8" w:space="0"/>
              <w:bottom w:val="single" w:color="auto" w:sz="8" w:space="0"/>
              <w:right w:val="single" w:color="auto" w:sz="8"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三、本年度办理结果</w:t>
            </w:r>
          </w:p>
        </w:tc>
        <w:tc>
          <w:tcPr>
            <w:tcW w:w="2985" w:type="dxa"/>
            <w:gridSpan w:val="2"/>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（一）予以公开</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0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2985" w:type="dxa"/>
            <w:gridSpan w:val="2"/>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（二）部分公开（区分处理的，只计这一情形，不计其他情形）</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855"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（三）不予公开</w:t>
            </w: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1.属于国家秘密</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2.其他法律行政法规禁止公开</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3.危及“三安全一稳定”</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4.保护第三方合法权益</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5.属于三类内部事务信息</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6.属于四类过程性信息</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7.属于行政执法案卷</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8.属于行政查询事项</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855"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（四）无法提供</w:t>
            </w: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1.本机关不掌握相关政府信息</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3</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2.没有现成信息需要另行制作</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3.补正后申请内容仍不明确</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855"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（五）不予处理</w:t>
            </w: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1.信访举报投诉类申请</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2.重复申请</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3.要求提供公开出版物</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4.无正当理由大量反复申请</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5.要求行政机关确认或重新出具已获取信息</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2985" w:type="dxa"/>
            <w:gridSpan w:val="2"/>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（六）其他处理</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2985" w:type="dxa"/>
            <w:gridSpan w:val="2"/>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（七）总计</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3</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四、结转下年度继续办理</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Calibri" w:hAnsi="Calibri" w:cs="宋体"/>
                <w:color w:val="000000"/>
                <w:kern w:val="0"/>
                <w:sz w:val="20"/>
                <w:szCs w:val="20"/>
                <w:lang w:val="en-US" w:eastAsia="zh-CN"/>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Calibri" w:hAnsi="Calibri" w:cs="宋体"/>
                <w:color w:val="000000"/>
                <w:kern w:val="0"/>
                <w:sz w:val="20"/>
                <w:szCs w:val="20"/>
                <w:lang w:val="en-US" w:eastAsia="zh-CN"/>
              </w:rPr>
            </w:pPr>
            <w:r>
              <w:rPr>
                <w:rFonts w:hint="eastAsia" w:ascii="Calibri" w:hAnsi="Calibri" w:cs="宋体"/>
                <w:color w:val="000000"/>
                <w:kern w:val="0"/>
                <w:sz w:val="20"/>
                <w:szCs w:val="20"/>
                <w:lang w:val="en-US" w:eastAsia="zh-CN"/>
              </w:rPr>
              <w:t>0 </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Calibri" w:hAnsi="Calibri" w:cs="宋体"/>
                <w:color w:val="000000"/>
                <w:kern w:val="0"/>
                <w:sz w:val="20"/>
                <w:szCs w:val="20"/>
                <w:lang w:val="en-US" w:eastAsia="zh-CN"/>
              </w:rPr>
            </w:pPr>
            <w:r>
              <w:rPr>
                <w:rFonts w:hint="eastAsia" w:ascii="Calibri" w:hAnsi="Calibri" w:cs="宋体"/>
                <w:color w:val="000000"/>
                <w:kern w:val="0"/>
                <w:sz w:val="20"/>
                <w:szCs w:val="20"/>
                <w:lang w:val="en-US" w:eastAsia="zh-CN"/>
              </w:rPr>
              <w:t>0 </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Calibri" w:hAnsi="Calibri" w:cs="宋体"/>
                <w:color w:val="000000"/>
                <w:kern w:val="0"/>
                <w:sz w:val="20"/>
                <w:szCs w:val="20"/>
                <w:lang w:val="en-US" w:eastAsia="zh-CN"/>
              </w:rPr>
            </w:pPr>
            <w:r>
              <w:rPr>
                <w:rFonts w:hint="eastAsia" w:ascii="Calibri" w:hAnsi="Calibri" w:cs="宋体"/>
                <w:color w:val="000000"/>
                <w:kern w:val="0"/>
                <w:sz w:val="20"/>
                <w:szCs w:val="20"/>
                <w:lang w:val="en-US" w:eastAsia="zh-CN"/>
              </w:rPr>
              <w:t>0 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Calibri" w:hAnsi="Calibri" w:cs="宋体"/>
                <w:color w:val="000000"/>
                <w:kern w:val="0"/>
                <w:sz w:val="20"/>
                <w:szCs w:val="20"/>
                <w:lang w:val="en-US" w:eastAsia="zh-CN"/>
              </w:rPr>
            </w:pPr>
            <w:r>
              <w:rPr>
                <w:rFonts w:hint="eastAsia" w:ascii="Calibri" w:hAnsi="Calibri" w:cs="宋体"/>
                <w:color w:val="000000"/>
                <w:kern w:val="0"/>
                <w:sz w:val="20"/>
                <w:szCs w:val="20"/>
                <w:lang w:val="en-US" w:eastAsia="zh-CN"/>
              </w:rPr>
              <w:t>0 </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Calibri" w:hAnsi="Calibri" w:cs="宋体"/>
                <w:color w:val="000000"/>
                <w:kern w:val="0"/>
                <w:sz w:val="20"/>
                <w:szCs w:val="20"/>
                <w:lang w:val="en-US" w:eastAsia="zh-CN"/>
              </w:rPr>
            </w:pPr>
            <w:r>
              <w:rPr>
                <w:rFonts w:hint="eastAsia" w:ascii="Calibri" w:hAnsi="Calibri" w:cs="宋体"/>
                <w:color w:val="000000"/>
                <w:kern w:val="0"/>
                <w:sz w:val="20"/>
                <w:szCs w:val="20"/>
                <w:lang w:val="en-US" w:eastAsia="zh-CN"/>
              </w:rPr>
              <w:t>0</w:t>
            </w:r>
          </w:p>
        </w:tc>
      </w:tr>
    </w:tbl>
    <w:p>
      <w:pPr>
        <w:widowControl/>
        <w:spacing w:line="432" w:lineRule="atLeast"/>
        <w:ind w:firstLine="480"/>
        <w:rPr>
          <w:rFonts w:hint="eastAsia" w:ascii="宋体" w:hAnsi="宋体" w:cs="宋体"/>
          <w:color w:val="000000"/>
          <w:kern w:val="0"/>
          <w:sz w:val="24"/>
        </w:rPr>
      </w:pPr>
    </w:p>
    <w:p>
      <w:pPr>
        <w:widowControl/>
        <w:spacing w:line="432" w:lineRule="atLeast"/>
        <w:ind w:firstLine="620" w:firstLineChars="200"/>
        <w:rPr>
          <w:rFonts w:hint="eastAsia" w:ascii="黑体" w:hAnsi="宋体" w:eastAsia="黑体" w:cs="黑体"/>
          <w:b w:val="0"/>
          <w:color w:val="auto"/>
          <w:spacing w:val="0"/>
          <w:kern w:val="0"/>
          <w:sz w:val="31"/>
          <w:szCs w:val="31"/>
          <w:lang w:val="en-US" w:eastAsia="zh-CN" w:bidi="ar"/>
        </w:rPr>
      </w:pPr>
      <w:r>
        <w:rPr>
          <w:rFonts w:hint="eastAsia" w:ascii="黑体" w:hAnsi="宋体" w:eastAsia="黑体" w:cs="黑体"/>
          <w:b w:val="0"/>
          <w:color w:val="auto"/>
          <w:spacing w:val="0"/>
          <w:kern w:val="0"/>
          <w:sz w:val="31"/>
          <w:szCs w:val="31"/>
          <w:lang w:val="en-US" w:eastAsia="zh-CN" w:bidi="ar"/>
        </w:rPr>
        <w:t>四、政府信息公开行政复议、行政诉讼情况</w:t>
      </w:r>
    </w:p>
    <w:p>
      <w:pPr>
        <w:widowControl/>
        <w:spacing w:line="432" w:lineRule="atLeast"/>
        <w:ind w:firstLine="480"/>
        <w:rPr>
          <w:rFonts w:hint="eastAsia" w:ascii="宋体" w:hAnsi="宋体" w:cs="宋体"/>
          <w:color w:val="000000"/>
          <w:kern w:val="0"/>
          <w:sz w:val="24"/>
        </w:rPr>
      </w:pPr>
    </w:p>
    <w:tbl>
      <w:tblPr>
        <w:tblStyle w:val="4"/>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行政复议</w:t>
            </w:r>
          </w:p>
        </w:tc>
        <w:tc>
          <w:tcPr>
            <w:tcW w:w="5997" w:type="dxa"/>
            <w:gridSpan w:val="10"/>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结果维持</w:t>
            </w:r>
          </w:p>
        </w:tc>
        <w:tc>
          <w:tcPr>
            <w:tcW w:w="604"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c>
          <w:tcPr>
            <w:tcW w:w="2970"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single" w:color="auto" w:sz="8" w:space="0"/>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single" w:color="auto" w:sz="8" w:space="0"/>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single" w:color="auto" w:sz="8" w:space="0"/>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55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结果维持</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结果纠正</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其他结果</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尚未审结</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结果维持</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结果纠正</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尚未审结</w:t>
            </w:r>
          </w:p>
        </w:tc>
        <w:tc>
          <w:tcPr>
            <w:tcW w:w="60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6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6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6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6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55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Calibri" w:hAnsi="Calibri" w:cs="宋体" w:eastAsiaTheme="minorEastAsia"/>
                <w:color w:val="000000"/>
                <w:kern w:val="0"/>
                <w:sz w:val="20"/>
                <w:szCs w:val="20"/>
                <w:lang w:val="en-US" w:eastAsia="zh-CN"/>
              </w:rPr>
            </w:pPr>
            <w:r>
              <w:rPr>
                <w:rFonts w:hint="eastAsia"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Calibri" w:hAnsi="Calibri" w:cs="宋体"/>
                <w:color w:val="000000"/>
                <w:kern w:val="0"/>
                <w:sz w:val="20"/>
                <w:szCs w:val="20"/>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Calibri" w:hAnsi="Calibri" w:cs="宋体"/>
                <w:color w:val="000000"/>
                <w:kern w:val="0"/>
                <w:sz w:val="20"/>
                <w:szCs w:val="20"/>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60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Calibri" w:hAnsi="Calibri" w:cs="宋体"/>
                <w:color w:val="000000"/>
                <w:kern w:val="0"/>
                <w:sz w:val="20"/>
                <w:szCs w:val="20"/>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60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Calibri" w:hAnsi="Calibri" w:cs="宋体"/>
                <w:color w:val="000000"/>
                <w:kern w:val="0"/>
                <w:sz w:val="20"/>
                <w:szCs w:val="20"/>
                <w:lang w:val="en-US" w:eastAsia="zh-CN"/>
              </w:rPr>
            </w:pPr>
            <w:r>
              <w:rPr>
                <w:rFonts w:hint="eastAsia" w:ascii="Calibri" w:hAnsi="Calibri" w:cs="宋体"/>
                <w:color w:val="000000"/>
                <w:kern w:val="0"/>
                <w:sz w:val="20"/>
                <w:szCs w:val="20"/>
                <w:lang w:val="en-US" w:eastAsia="zh-CN"/>
              </w:rPr>
              <w:t>0</w:t>
            </w:r>
          </w:p>
        </w:tc>
      </w:tr>
    </w:tbl>
    <w:p>
      <w:pPr>
        <w:widowControl/>
        <w:spacing w:line="432" w:lineRule="atLeast"/>
        <w:jc w:val="center"/>
        <w:rPr>
          <w:rFonts w:hint="eastAsia" w:ascii="宋体" w:hAnsi="宋体" w:cs="宋体"/>
          <w:color w:val="000000"/>
          <w:kern w:val="0"/>
          <w:sz w:val="24"/>
        </w:rPr>
      </w:pPr>
    </w:p>
    <w:p>
      <w:pPr>
        <w:widowControl/>
        <w:spacing w:line="432" w:lineRule="atLeast"/>
        <w:ind w:firstLine="620" w:firstLineChars="200"/>
        <w:rPr>
          <w:rFonts w:hint="eastAsia" w:ascii="黑体" w:hAnsi="宋体" w:eastAsia="黑体" w:cs="黑体"/>
          <w:b w:val="0"/>
          <w:color w:val="auto"/>
          <w:spacing w:val="0"/>
          <w:kern w:val="0"/>
          <w:sz w:val="31"/>
          <w:szCs w:val="31"/>
          <w:lang w:val="en-US" w:eastAsia="zh-CN" w:bidi="ar"/>
        </w:rPr>
      </w:pPr>
      <w:r>
        <w:rPr>
          <w:rFonts w:hint="eastAsia" w:ascii="黑体" w:hAnsi="宋体" w:eastAsia="黑体" w:cs="黑体"/>
          <w:b w:val="0"/>
          <w:color w:val="auto"/>
          <w:spacing w:val="0"/>
          <w:kern w:val="0"/>
          <w:sz w:val="31"/>
          <w:szCs w:val="31"/>
          <w:lang w:val="en-US" w:eastAsia="zh-CN" w:bidi="ar"/>
        </w:rPr>
        <w:t>五、存在的主要问题及改进情况</w:t>
      </w:r>
    </w:p>
    <w:p>
      <w:pPr>
        <w:pStyle w:val="3"/>
        <w:keepNext w:val="0"/>
        <w:keepLines w:val="0"/>
        <w:widowControl/>
        <w:suppressLineNumbers w:val="0"/>
        <w:spacing w:before="0" w:beforeAutospacing="0" w:after="0" w:afterAutospacing="0" w:line="555" w:lineRule="atLeast"/>
        <w:ind w:left="0" w:right="0" w:firstLine="645"/>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对照《条例》《细则》提出的要求和人民群众的期望，市</w:t>
      </w:r>
      <w:r>
        <w:rPr>
          <w:rFonts w:hint="eastAsia" w:ascii="仿宋_GB2312" w:hAnsi="仿宋_GB2312" w:eastAsia="仿宋_GB2312" w:cs="仿宋_GB2312"/>
          <w:sz w:val="32"/>
          <w:szCs w:val="32"/>
          <w:lang w:val="en-US" w:eastAsia="zh-CN"/>
        </w:rPr>
        <w:t>水利局</w:t>
      </w:r>
      <w:r>
        <w:rPr>
          <w:rFonts w:hint="eastAsia" w:ascii="仿宋_GB2312" w:hAnsi="仿宋_GB2312" w:eastAsia="仿宋_GB2312" w:cs="仿宋_GB2312"/>
          <w:sz w:val="32"/>
          <w:szCs w:val="32"/>
        </w:rPr>
        <w:t>政府信息公开工作仍存在一定的差距，政府信息主动公开范畴有待进一步拓展，主动公开质量有待提高，制度落实有时不够严格。下一步，市</w:t>
      </w:r>
      <w:r>
        <w:rPr>
          <w:rFonts w:hint="eastAsia" w:ascii="仿宋_GB2312" w:hAnsi="仿宋_GB2312" w:eastAsia="仿宋_GB2312" w:cs="仿宋_GB2312"/>
          <w:sz w:val="32"/>
          <w:szCs w:val="32"/>
          <w:lang w:val="en-US" w:eastAsia="zh-CN"/>
        </w:rPr>
        <w:t>水利局</w:t>
      </w:r>
      <w:r>
        <w:rPr>
          <w:rFonts w:hint="eastAsia" w:ascii="仿宋_GB2312" w:hAnsi="仿宋_GB2312" w:eastAsia="仿宋_GB2312" w:cs="仿宋_GB2312"/>
          <w:sz w:val="32"/>
          <w:szCs w:val="32"/>
        </w:rPr>
        <w:t>将严格按照《条例》《细则》要求，结合本单位实际，切实做好政府信息公开工作，全面深化拓展政府信息公开工作的内容和范围。顺应“互联网+”的潮流，主动运用新技术，提升政府信息公开工作水平。强化日常管理，抓好各项政府信息公开配套制度的落实。</w:t>
      </w:r>
    </w:p>
    <w:p>
      <w:pPr>
        <w:widowControl/>
        <w:spacing w:line="432" w:lineRule="atLeast"/>
        <w:ind w:firstLine="620" w:firstLineChars="200"/>
        <w:rPr>
          <w:rFonts w:hint="eastAsia" w:ascii="黑体" w:hAnsi="宋体" w:eastAsia="黑体" w:cs="黑体"/>
          <w:b w:val="0"/>
          <w:color w:val="auto"/>
          <w:spacing w:val="0"/>
          <w:kern w:val="0"/>
          <w:sz w:val="31"/>
          <w:szCs w:val="31"/>
          <w:lang w:val="en-US" w:eastAsia="zh-CN" w:bidi="ar"/>
        </w:rPr>
      </w:pPr>
      <w:r>
        <w:rPr>
          <w:rFonts w:hint="eastAsia" w:ascii="黑体" w:hAnsi="宋体" w:eastAsia="黑体" w:cs="黑体"/>
          <w:b w:val="0"/>
          <w:color w:val="auto"/>
          <w:spacing w:val="0"/>
          <w:kern w:val="0"/>
          <w:sz w:val="31"/>
          <w:szCs w:val="31"/>
          <w:lang w:val="en-US" w:eastAsia="zh-CN" w:bidi="ar"/>
        </w:rPr>
        <w:t>六、其他需要报告的事项</w:t>
      </w:r>
    </w:p>
    <w:p>
      <w:pPr>
        <w:pStyle w:val="3"/>
        <w:keepNext w:val="0"/>
        <w:keepLines w:val="0"/>
        <w:widowControl/>
        <w:suppressLineNumbers w:val="0"/>
        <w:spacing w:before="0" w:beforeAutospacing="0" w:after="0" w:afterAutospacing="0" w:line="555" w:lineRule="atLeast"/>
        <w:ind w:left="0" w:right="0" w:firstLine="645"/>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本年度无其他需要报告的事项。</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E5938"/>
    <w:rsid w:val="0C1A7601"/>
    <w:rsid w:val="19915DF3"/>
    <w:rsid w:val="20E15EB2"/>
    <w:rsid w:val="25E57478"/>
    <w:rsid w:val="719E5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page number"/>
    <w:basedOn w:val="5"/>
    <w:qFormat/>
    <w:uiPriority w:val="0"/>
  </w:style>
  <w:style w:type="character" w:styleId="8">
    <w:name w:val="FollowedHyperlink"/>
    <w:basedOn w:val="5"/>
    <w:qFormat/>
    <w:uiPriority w:val="0"/>
    <w:rPr>
      <w:color w:val="333333"/>
      <w:u w:val="none"/>
    </w:rPr>
  </w:style>
  <w:style w:type="character" w:styleId="9">
    <w:name w:val="Hyperlink"/>
    <w:basedOn w:val="5"/>
    <w:qFormat/>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2020-01-02T01:31:00Z</dcterms:created>
  <dc:creator>user</dc:creator>
  <cp:lastModifiedBy>芒果骑士先森</cp:lastModifiedBy>
  <dcterms:modified xsi:type="dcterms:W3CDTF">2020-01-22T02:08:39Z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